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98B7" w14:textId="77777777" w:rsidR="004A4A33" w:rsidRPr="002E1806" w:rsidRDefault="009232D4" w:rsidP="002E180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Migrant </w:t>
      </w:r>
      <w:r w:rsidR="00E21094">
        <w:rPr>
          <w:rFonts w:ascii="Arial" w:hAnsi="Arial" w:cs="Arial"/>
          <w:b/>
          <w:sz w:val="28"/>
          <w:szCs w:val="28"/>
        </w:rPr>
        <w:t xml:space="preserve">Priority for Service (PFS) </w:t>
      </w:r>
      <w:r w:rsidR="004A4A33" w:rsidRPr="002E1806">
        <w:rPr>
          <w:rFonts w:ascii="Arial" w:hAnsi="Arial" w:cs="Arial"/>
          <w:b/>
          <w:sz w:val="28"/>
          <w:szCs w:val="28"/>
        </w:rPr>
        <w:t>District Responsibilities</w:t>
      </w:r>
    </w:p>
    <w:p w14:paraId="54379FD0" w14:textId="77777777" w:rsidR="00D1450A" w:rsidRPr="002E1806" w:rsidRDefault="00FA2B1F" w:rsidP="00D145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- September</w:t>
      </w:r>
    </w:p>
    <w:p w14:paraId="74FAC7CD" w14:textId="618629EC" w:rsidR="004A4A33" w:rsidRPr="002E1806" w:rsidRDefault="00831B40" w:rsidP="00894A6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Migrant </w:t>
      </w:r>
      <w:r w:rsidR="000537F0">
        <w:rPr>
          <w:rFonts w:ascii="Arial" w:hAnsi="Arial" w:cs="Arial"/>
          <w:sz w:val="24"/>
          <w:szCs w:val="24"/>
        </w:rPr>
        <w:t>administrator</w:t>
      </w:r>
      <w:r>
        <w:rPr>
          <w:rFonts w:ascii="Arial" w:hAnsi="Arial" w:cs="Arial"/>
          <w:sz w:val="24"/>
          <w:szCs w:val="24"/>
        </w:rPr>
        <w:t xml:space="preserve"> must c</w:t>
      </w:r>
      <w:r w:rsidR="004A4A33" w:rsidRPr="002E1806">
        <w:rPr>
          <w:rFonts w:ascii="Arial" w:hAnsi="Arial" w:cs="Arial"/>
          <w:sz w:val="24"/>
          <w:szCs w:val="24"/>
        </w:rPr>
        <w:t>omplete</w:t>
      </w:r>
      <w:r w:rsidR="00132F79">
        <w:rPr>
          <w:rFonts w:ascii="Arial" w:hAnsi="Arial" w:cs="Arial"/>
          <w:sz w:val="24"/>
          <w:szCs w:val="24"/>
        </w:rPr>
        <w:t xml:space="preserve">, sign </w:t>
      </w:r>
      <w:r w:rsidR="004A4A33" w:rsidRPr="002E1806">
        <w:rPr>
          <w:rFonts w:ascii="Arial" w:hAnsi="Arial" w:cs="Arial"/>
          <w:sz w:val="24"/>
          <w:szCs w:val="24"/>
        </w:rPr>
        <w:t xml:space="preserve">and submit District PFS Action Plan </w:t>
      </w:r>
      <w:r>
        <w:rPr>
          <w:rFonts w:ascii="Arial" w:hAnsi="Arial" w:cs="Arial"/>
          <w:sz w:val="24"/>
          <w:szCs w:val="24"/>
        </w:rPr>
        <w:t xml:space="preserve">to </w:t>
      </w:r>
      <w:r w:rsidR="00132F79">
        <w:rPr>
          <w:rFonts w:ascii="Arial" w:hAnsi="Arial" w:cs="Arial"/>
          <w:sz w:val="24"/>
          <w:szCs w:val="24"/>
        </w:rPr>
        <w:t xml:space="preserve">the </w:t>
      </w:r>
      <w:r w:rsidR="00F46A52" w:rsidRPr="002E1806">
        <w:rPr>
          <w:rFonts w:ascii="Arial" w:hAnsi="Arial" w:cs="Arial"/>
          <w:sz w:val="24"/>
          <w:szCs w:val="24"/>
        </w:rPr>
        <w:t xml:space="preserve">ESC </w:t>
      </w:r>
      <w:r w:rsidR="00361795">
        <w:rPr>
          <w:rFonts w:ascii="Arial" w:hAnsi="Arial" w:cs="Arial"/>
          <w:sz w:val="24"/>
          <w:szCs w:val="24"/>
        </w:rPr>
        <w:t>Director of Migrant Education</w:t>
      </w:r>
      <w:r>
        <w:rPr>
          <w:rFonts w:ascii="Arial" w:hAnsi="Arial" w:cs="Arial"/>
          <w:sz w:val="24"/>
          <w:szCs w:val="24"/>
        </w:rPr>
        <w:t xml:space="preserve"> for review, technical assistance and signature.   </w:t>
      </w:r>
    </w:p>
    <w:p w14:paraId="53CFEA20" w14:textId="77777777" w:rsidR="00E176F4" w:rsidRPr="002E1806" w:rsidRDefault="00E176F4" w:rsidP="00D1450A">
      <w:pPr>
        <w:spacing w:after="0"/>
        <w:rPr>
          <w:rFonts w:ascii="Arial" w:hAnsi="Arial" w:cs="Arial"/>
          <w:sz w:val="24"/>
          <w:szCs w:val="24"/>
        </w:rPr>
      </w:pPr>
    </w:p>
    <w:p w14:paraId="6A55A1C4" w14:textId="77777777" w:rsidR="004A4A33" w:rsidRPr="00F52E60" w:rsidRDefault="004A4A33" w:rsidP="00D145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F52E60">
        <w:rPr>
          <w:rFonts w:ascii="Arial" w:hAnsi="Arial" w:cs="Arial"/>
          <w:b/>
          <w:sz w:val="24"/>
          <w:szCs w:val="24"/>
        </w:rPr>
        <w:t>Monthly</w:t>
      </w:r>
    </w:p>
    <w:p w14:paraId="722BDBBA" w14:textId="77777777" w:rsidR="004A4A33" w:rsidRPr="002E1806" w:rsidRDefault="00FA2B1F" w:rsidP="00894A60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September, r</w:t>
      </w:r>
      <w:r w:rsidR="004A4A33" w:rsidRPr="002E1806">
        <w:rPr>
          <w:rFonts w:ascii="Arial" w:hAnsi="Arial" w:cs="Arial"/>
          <w:sz w:val="24"/>
          <w:szCs w:val="24"/>
        </w:rPr>
        <w:t>un PFS District Report and sub</w:t>
      </w:r>
      <w:r w:rsidR="002D0A1D">
        <w:rPr>
          <w:rFonts w:ascii="Arial" w:hAnsi="Arial" w:cs="Arial"/>
          <w:sz w:val="24"/>
          <w:szCs w:val="24"/>
        </w:rPr>
        <w:t xml:space="preserve">mit as an </w:t>
      </w:r>
      <w:r w:rsidR="000537F0">
        <w:rPr>
          <w:rFonts w:ascii="Arial" w:hAnsi="Arial" w:cs="Arial"/>
          <w:sz w:val="24"/>
          <w:szCs w:val="24"/>
        </w:rPr>
        <w:t>e-text file</w:t>
      </w:r>
      <w:r w:rsidR="00F46A52" w:rsidRPr="002E1806">
        <w:rPr>
          <w:rFonts w:ascii="Arial" w:hAnsi="Arial" w:cs="Arial"/>
          <w:sz w:val="24"/>
          <w:szCs w:val="24"/>
        </w:rPr>
        <w:t xml:space="preserve"> </w:t>
      </w:r>
      <w:r w:rsidR="004A4A33" w:rsidRPr="002E1806">
        <w:rPr>
          <w:rFonts w:ascii="Arial" w:hAnsi="Arial" w:cs="Arial"/>
          <w:sz w:val="24"/>
          <w:szCs w:val="24"/>
        </w:rPr>
        <w:t xml:space="preserve">to assigned ESC </w:t>
      </w:r>
      <w:r w:rsidR="00601B78">
        <w:rPr>
          <w:rFonts w:ascii="Arial" w:hAnsi="Arial" w:cs="Arial"/>
          <w:sz w:val="24"/>
          <w:szCs w:val="24"/>
        </w:rPr>
        <w:t xml:space="preserve">MEP </w:t>
      </w:r>
      <w:r w:rsidR="004A4A33" w:rsidRPr="002E1806">
        <w:rPr>
          <w:rFonts w:ascii="Arial" w:hAnsi="Arial" w:cs="Arial"/>
          <w:sz w:val="24"/>
          <w:szCs w:val="24"/>
        </w:rPr>
        <w:t>Specialist</w:t>
      </w:r>
      <w:r w:rsidR="008444BF" w:rsidRPr="002E1806">
        <w:rPr>
          <w:rFonts w:ascii="Arial" w:hAnsi="Arial" w:cs="Arial"/>
          <w:sz w:val="24"/>
          <w:szCs w:val="24"/>
        </w:rPr>
        <w:t xml:space="preserve"> by the end of each month</w:t>
      </w:r>
      <w:r w:rsidR="00132F79">
        <w:rPr>
          <w:rFonts w:ascii="Arial" w:hAnsi="Arial" w:cs="Arial"/>
          <w:sz w:val="24"/>
          <w:szCs w:val="24"/>
        </w:rPr>
        <w:t xml:space="preserve">. </w:t>
      </w:r>
      <w:r w:rsidR="00601B78">
        <w:rPr>
          <w:rFonts w:ascii="Arial" w:hAnsi="Arial" w:cs="Arial"/>
          <w:sz w:val="24"/>
          <w:szCs w:val="24"/>
        </w:rPr>
        <w:t xml:space="preserve">One district designee will forward the report. </w:t>
      </w:r>
      <w:r w:rsidR="0078538A">
        <w:rPr>
          <w:rFonts w:ascii="Arial" w:hAnsi="Arial" w:cs="Arial"/>
          <w:sz w:val="24"/>
          <w:szCs w:val="24"/>
        </w:rPr>
        <w:t>It is recommended that the PFS Report be run on the same day of each month</w:t>
      </w:r>
      <w:r w:rsidR="00601B78">
        <w:rPr>
          <w:rFonts w:ascii="Arial" w:hAnsi="Arial" w:cs="Arial"/>
          <w:sz w:val="24"/>
          <w:szCs w:val="24"/>
        </w:rPr>
        <w:t xml:space="preserve"> and that all district personnel work from the same report</w:t>
      </w:r>
      <w:r w:rsidR="0078538A">
        <w:rPr>
          <w:rFonts w:ascii="Arial" w:hAnsi="Arial" w:cs="Arial"/>
          <w:sz w:val="24"/>
          <w:szCs w:val="24"/>
        </w:rPr>
        <w:t xml:space="preserve">. </w:t>
      </w:r>
    </w:p>
    <w:p w14:paraId="1799749F" w14:textId="77777777" w:rsidR="004A4A33" w:rsidRPr="002E1806" w:rsidRDefault="004A4A33" w:rsidP="004A4A33">
      <w:pPr>
        <w:spacing w:after="0"/>
        <w:rPr>
          <w:rFonts w:ascii="Arial" w:hAnsi="Arial" w:cs="Arial"/>
          <w:sz w:val="24"/>
          <w:szCs w:val="24"/>
        </w:rPr>
      </w:pPr>
    </w:p>
    <w:p w14:paraId="751BA996" w14:textId="77777777" w:rsidR="004A4A33" w:rsidRPr="00F52E60" w:rsidRDefault="004A4A33" w:rsidP="00D145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F52E60">
        <w:rPr>
          <w:rFonts w:ascii="Arial" w:hAnsi="Arial" w:cs="Arial"/>
          <w:b/>
          <w:sz w:val="24"/>
          <w:szCs w:val="24"/>
        </w:rPr>
        <w:t>Quarterly</w:t>
      </w:r>
    </w:p>
    <w:p w14:paraId="4145D7AD" w14:textId="4AAEDE9F" w:rsidR="004A4A33" w:rsidRPr="002E1806" w:rsidRDefault="004A4A33" w:rsidP="00343E5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E1806">
        <w:rPr>
          <w:rFonts w:ascii="Arial" w:hAnsi="Arial" w:cs="Arial"/>
          <w:sz w:val="24"/>
          <w:szCs w:val="24"/>
        </w:rPr>
        <w:t xml:space="preserve">Complete Progress Reviews for all PFS students (K-12 &amp; OSY) </w:t>
      </w:r>
      <w:r w:rsidR="00132F79">
        <w:rPr>
          <w:rFonts w:ascii="Arial" w:hAnsi="Arial" w:cs="Arial"/>
          <w:sz w:val="24"/>
          <w:szCs w:val="24"/>
        </w:rPr>
        <w:t>once</w:t>
      </w:r>
      <w:r w:rsidRPr="002E1806">
        <w:rPr>
          <w:rFonts w:ascii="Arial" w:hAnsi="Arial" w:cs="Arial"/>
          <w:sz w:val="24"/>
          <w:szCs w:val="24"/>
        </w:rPr>
        <w:t xml:space="preserve"> per quarter</w:t>
      </w:r>
      <w:r w:rsidR="00361795">
        <w:rPr>
          <w:rFonts w:ascii="Arial" w:hAnsi="Arial" w:cs="Arial"/>
          <w:sz w:val="24"/>
          <w:szCs w:val="24"/>
        </w:rPr>
        <w:t xml:space="preserve"> for a total of 3 progress reviews for the school year</w:t>
      </w:r>
      <w:r w:rsidRPr="002E1806">
        <w:rPr>
          <w:rFonts w:ascii="Arial" w:hAnsi="Arial" w:cs="Arial"/>
          <w:sz w:val="24"/>
          <w:szCs w:val="24"/>
        </w:rPr>
        <w:t>.</w:t>
      </w:r>
    </w:p>
    <w:p w14:paraId="2F6FEF2D" w14:textId="36DAEB23" w:rsidR="0015254C" w:rsidRPr="00717EFF" w:rsidRDefault="0015254C" w:rsidP="00343E5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If students do not appear on the PFS Report, then district will not be required to complete the Progress Review.  Therefore, each student will not have a total of 3 </w:t>
      </w:r>
      <w:r w:rsidR="0036179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rogress </w:t>
      </w:r>
      <w:r w:rsidR="0036179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eviews.</w:t>
      </w:r>
    </w:p>
    <w:p w14:paraId="0A1E2462" w14:textId="192B8652" w:rsidR="0015254C" w:rsidRPr="00361795" w:rsidRDefault="00361795" w:rsidP="00343E5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61795">
        <w:rPr>
          <w:rFonts w:ascii="Arial" w:hAnsi="Arial" w:cs="Arial"/>
          <w:sz w:val="24"/>
          <w:szCs w:val="24"/>
        </w:rPr>
        <w:t>The C</w:t>
      </w:r>
      <w:r w:rsidR="0015254C" w:rsidRPr="00361795">
        <w:rPr>
          <w:rFonts w:ascii="Arial" w:hAnsi="Arial" w:cs="Arial"/>
          <w:sz w:val="24"/>
          <w:szCs w:val="24"/>
        </w:rPr>
        <w:t xml:space="preserve">urrent Grades </w:t>
      </w:r>
      <w:r w:rsidR="00343E52">
        <w:rPr>
          <w:rFonts w:ascii="Arial" w:hAnsi="Arial" w:cs="Arial"/>
          <w:sz w:val="24"/>
          <w:szCs w:val="24"/>
        </w:rPr>
        <w:t xml:space="preserve">section </w:t>
      </w:r>
      <w:r w:rsidRPr="00361795">
        <w:rPr>
          <w:rFonts w:ascii="Arial" w:hAnsi="Arial" w:cs="Arial"/>
          <w:sz w:val="24"/>
          <w:szCs w:val="24"/>
        </w:rPr>
        <w:t xml:space="preserve">on the progress review </w:t>
      </w:r>
      <w:r w:rsidR="0015254C" w:rsidRPr="00361795">
        <w:rPr>
          <w:rFonts w:ascii="Arial" w:hAnsi="Arial" w:cs="Arial"/>
          <w:sz w:val="24"/>
          <w:szCs w:val="24"/>
        </w:rPr>
        <w:t>may consist of 1 or more of the following:  Most current six weeks grades, progress reports grades, computer lab grades (credit recovery).  It is the district</w:t>
      </w:r>
      <w:r w:rsidRPr="00361795">
        <w:rPr>
          <w:rFonts w:ascii="Arial" w:hAnsi="Arial" w:cs="Arial"/>
          <w:sz w:val="24"/>
          <w:szCs w:val="24"/>
        </w:rPr>
        <w:t>’</w:t>
      </w:r>
      <w:r w:rsidR="0015254C" w:rsidRPr="00361795">
        <w:rPr>
          <w:rFonts w:ascii="Arial" w:hAnsi="Arial" w:cs="Arial"/>
          <w:sz w:val="24"/>
          <w:szCs w:val="24"/>
        </w:rPr>
        <w:t>s responsibility to designate what current grades documentation will be used per progress review to facilitate district consistency across the grade levels.</w:t>
      </w:r>
    </w:p>
    <w:p w14:paraId="60B3B6AD" w14:textId="77777777" w:rsidR="00361795" w:rsidRPr="0015254C" w:rsidRDefault="00361795" w:rsidP="00343E5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5254C">
        <w:rPr>
          <w:rFonts w:ascii="Arial" w:hAnsi="Arial" w:cs="Arial"/>
          <w:sz w:val="24"/>
          <w:szCs w:val="24"/>
        </w:rPr>
        <w:t>Districts must select a method of conducting Progress Reviews— Manual or Electronic.</w:t>
      </w:r>
    </w:p>
    <w:p w14:paraId="6973E68F" w14:textId="77777777" w:rsidR="00361795" w:rsidRPr="00276A9A" w:rsidRDefault="00361795" w:rsidP="0036179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76A9A">
        <w:rPr>
          <w:rFonts w:ascii="Arial" w:hAnsi="Arial" w:cs="Arial"/>
          <w:sz w:val="24"/>
          <w:szCs w:val="24"/>
        </w:rPr>
        <w:t>Districts must submit their preferred method for conducting Progress Reviews to their assigned ESC Migrant Specialist.</w:t>
      </w:r>
    </w:p>
    <w:p w14:paraId="1E60E261" w14:textId="77777777" w:rsidR="00361795" w:rsidRPr="00276A9A" w:rsidRDefault="00361795" w:rsidP="0036179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76A9A">
        <w:rPr>
          <w:rFonts w:ascii="Arial" w:hAnsi="Arial" w:cs="Arial"/>
          <w:sz w:val="24"/>
          <w:szCs w:val="24"/>
        </w:rPr>
        <w:t>Progress Reviews must be completed and submitted by the following timelines, whether manual or electronic.</w:t>
      </w:r>
    </w:p>
    <w:p w14:paraId="05D96255" w14:textId="77777777" w:rsidR="00361795" w:rsidRPr="00276A9A" w:rsidRDefault="00361795" w:rsidP="00361795">
      <w:pPr>
        <w:spacing w:after="0"/>
        <w:rPr>
          <w:rFonts w:ascii="Arial" w:hAnsi="Arial" w:cs="Arial"/>
          <w:sz w:val="24"/>
          <w:szCs w:val="24"/>
        </w:rPr>
      </w:pPr>
    </w:p>
    <w:p w14:paraId="7F9E081A" w14:textId="77777777" w:rsidR="00361795" w:rsidRPr="00276A9A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  <w:r w:rsidRPr="00276A9A">
        <w:rPr>
          <w:rFonts w:ascii="Arial" w:hAnsi="Arial" w:cs="Arial"/>
          <w:b/>
          <w:sz w:val="24"/>
          <w:szCs w:val="24"/>
        </w:rPr>
        <w:t>Quarter 1</w:t>
      </w:r>
      <w:r w:rsidRPr="00276A9A">
        <w:rPr>
          <w:rFonts w:ascii="Arial" w:hAnsi="Arial" w:cs="Arial"/>
          <w:sz w:val="24"/>
          <w:szCs w:val="24"/>
        </w:rPr>
        <w:t>= September, October and November.</w:t>
      </w:r>
    </w:p>
    <w:p w14:paraId="774B5E67" w14:textId="62D9FF5F" w:rsidR="00361795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PFS Individual Student Plan due to ESC by October 18, 2019.</w:t>
      </w:r>
    </w:p>
    <w:p w14:paraId="6CA9DA9C" w14:textId="12A5A22D" w:rsidR="00361795" w:rsidRPr="00276A9A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  <w:r w:rsidRPr="00276A9A">
        <w:rPr>
          <w:rFonts w:ascii="Arial" w:hAnsi="Arial" w:cs="Arial"/>
          <w:sz w:val="24"/>
          <w:szCs w:val="24"/>
        </w:rPr>
        <w:t xml:space="preserve">Progress Review due </w:t>
      </w:r>
      <w:r>
        <w:rPr>
          <w:rFonts w:ascii="Arial" w:hAnsi="Arial" w:cs="Arial"/>
          <w:sz w:val="24"/>
          <w:szCs w:val="24"/>
        </w:rPr>
        <w:t xml:space="preserve">to ESC </w:t>
      </w:r>
      <w:r w:rsidRPr="00276A9A">
        <w:rPr>
          <w:rFonts w:ascii="Arial" w:hAnsi="Arial" w:cs="Arial"/>
          <w:sz w:val="24"/>
          <w:szCs w:val="24"/>
        </w:rPr>
        <w:t>by November 22</w:t>
      </w:r>
      <w:r>
        <w:rPr>
          <w:rFonts w:ascii="Arial" w:hAnsi="Arial" w:cs="Arial"/>
          <w:sz w:val="24"/>
          <w:szCs w:val="24"/>
        </w:rPr>
        <w:t>, 2019</w:t>
      </w:r>
      <w:r w:rsidRPr="00276A9A">
        <w:rPr>
          <w:rFonts w:ascii="Arial" w:hAnsi="Arial" w:cs="Arial"/>
          <w:sz w:val="24"/>
          <w:szCs w:val="24"/>
        </w:rPr>
        <w:t xml:space="preserve">. </w:t>
      </w:r>
    </w:p>
    <w:p w14:paraId="4B34749A" w14:textId="77777777" w:rsidR="00361795" w:rsidRPr="00276A9A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</w:p>
    <w:p w14:paraId="366A215F" w14:textId="77777777" w:rsidR="00361795" w:rsidRPr="00276A9A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  <w:r w:rsidRPr="00276A9A">
        <w:rPr>
          <w:rFonts w:ascii="Arial" w:hAnsi="Arial" w:cs="Arial"/>
          <w:b/>
          <w:sz w:val="24"/>
          <w:szCs w:val="24"/>
        </w:rPr>
        <w:t>Quarter 2</w:t>
      </w:r>
      <w:r w:rsidRPr="00276A9A">
        <w:rPr>
          <w:rFonts w:ascii="Arial" w:hAnsi="Arial" w:cs="Arial"/>
          <w:sz w:val="24"/>
          <w:szCs w:val="24"/>
        </w:rPr>
        <w:t>= December, January and February.</w:t>
      </w:r>
      <w:r w:rsidRPr="00276A9A">
        <w:rPr>
          <w:rFonts w:ascii="Arial" w:hAnsi="Arial" w:cs="Arial"/>
          <w:sz w:val="24"/>
          <w:szCs w:val="24"/>
        </w:rPr>
        <w:tab/>
      </w:r>
    </w:p>
    <w:p w14:paraId="208F02CB" w14:textId="0E4B819D" w:rsidR="00361795" w:rsidRPr="00276A9A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  <w:r w:rsidRPr="00276A9A">
        <w:rPr>
          <w:rFonts w:ascii="Arial" w:hAnsi="Arial" w:cs="Arial"/>
          <w:sz w:val="24"/>
          <w:szCs w:val="24"/>
        </w:rPr>
        <w:t>Progress Review due by February 21</w:t>
      </w:r>
      <w:r>
        <w:rPr>
          <w:rFonts w:ascii="Arial" w:hAnsi="Arial" w:cs="Arial"/>
          <w:sz w:val="24"/>
          <w:szCs w:val="24"/>
        </w:rPr>
        <w:t>, 2020</w:t>
      </w:r>
      <w:r w:rsidRPr="00276A9A">
        <w:rPr>
          <w:rFonts w:ascii="Arial" w:hAnsi="Arial" w:cs="Arial"/>
          <w:sz w:val="24"/>
          <w:szCs w:val="24"/>
        </w:rPr>
        <w:t xml:space="preserve">. </w:t>
      </w:r>
    </w:p>
    <w:p w14:paraId="296AF1F3" w14:textId="77777777" w:rsidR="00361795" w:rsidRPr="00276A9A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</w:p>
    <w:p w14:paraId="06D0C6B5" w14:textId="77777777" w:rsidR="00361795" w:rsidRPr="00276A9A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  <w:r w:rsidRPr="00276A9A">
        <w:rPr>
          <w:rFonts w:ascii="Arial" w:hAnsi="Arial" w:cs="Arial"/>
          <w:b/>
          <w:sz w:val="24"/>
          <w:szCs w:val="24"/>
        </w:rPr>
        <w:t>Quarter 3</w:t>
      </w:r>
      <w:r w:rsidRPr="00276A9A">
        <w:rPr>
          <w:rFonts w:ascii="Arial" w:hAnsi="Arial" w:cs="Arial"/>
          <w:sz w:val="24"/>
          <w:szCs w:val="24"/>
        </w:rPr>
        <w:t>= March, April and May</w:t>
      </w:r>
    </w:p>
    <w:p w14:paraId="1263AF8D" w14:textId="112B6849" w:rsidR="00361795" w:rsidRPr="00276A9A" w:rsidRDefault="00361795" w:rsidP="00361795">
      <w:pPr>
        <w:spacing w:after="0" w:line="240" w:lineRule="exact"/>
        <w:ind w:left="1080"/>
        <w:rPr>
          <w:rFonts w:ascii="Arial" w:hAnsi="Arial" w:cs="Arial"/>
          <w:sz w:val="24"/>
          <w:szCs w:val="24"/>
        </w:rPr>
      </w:pPr>
      <w:r w:rsidRPr="00276A9A">
        <w:rPr>
          <w:rFonts w:ascii="Arial" w:hAnsi="Arial" w:cs="Arial"/>
          <w:sz w:val="24"/>
          <w:szCs w:val="24"/>
        </w:rPr>
        <w:t>Progress Review due by May 22</w:t>
      </w:r>
      <w:r>
        <w:rPr>
          <w:rFonts w:ascii="Arial" w:hAnsi="Arial" w:cs="Arial"/>
          <w:sz w:val="24"/>
          <w:szCs w:val="24"/>
        </w:rPr>
        <w:t>, 2020</w:t>
      </w:r>
      <w:r w:rsidRPr="00276A9A">
        <w:rPr>
          <w:rFonts w:ascii="Arial" w:hAnsi="Arial" w:cs="Arial"/>
          <w:sz w:val="24"/>
          <w:szCs w:val="24"/>
        </w:rPr>
        <w:t xml:space="preserve">. </w:t>
      </w:r>
    </w:p>
    <w:p w14:paraId="4166889C" w14:textId="155264A1" w:rsidR="00717EFF" w:rsidRDefault="00717EFF" w:rsidP="00717EFF">
      <w:pPr>
        <w:spacing w:after="0"/>
        <w:rPr>
          <w:rFonts w:ascii="Arial" w:hAnsi="Arial" w:cs="Arial"/>
          <w:sz w:val="28"/>
          <w:szCs w:val="28"/>
        </w:rPr>
      </w:pPr>
    </w:p>
    <w:p w14:paraId="14EB3501" w14:textId="1E5D29E7" w:rsidR="00361795" w:rsidRDefault="00361795" w:rsidP="00717EFF">
      <w:pPr>
        <w:spacing w:after="0"/>
        <w:rPr>
          <w:rFonts w:ascii="Arial" w:hAnsi="Arial" w:cs="Arial"/>
          <w:sz w:val="28"/>
          <w:szCs w:val="28"/>
        </w:rPr>
      </w:pPr>
    </w:p>
    <w:p w14:paraId="771D41C8" w14:textId="38717EB5" w:rsidR="00361795" w:rsidRDefault="00361795" w:rsidP="00717EFF">
      <w:pPr>
        <w:spacing w:after="0"/>
        <w:rPr>
          <w:rFonts w:ascii="Arial" w:hAnsi="Arial" w:cs="Arial"/>
          <w:sz w:val="28"/>
          <w:szCs w:val="28"/>
        </w:rPr>
      </w:pPr>
    </w:p>
    <w:p w14:paraId="7516B2B4" w14:textId="40EF04B8" w:rsidR="00361795" w:rsidRPr="00343E52" w:rsidRDefault="00343E52" w:rsidP="00717EFF">
      <w:pPr>
        <w:spacing w:after="0"/>
        <w:rPr>
          <w:rFonts w:ascii="Arial" w:hAnsi="Arial" w:cs="Arial"/>
          <w:b/>
          <w:sz w:val="24"/>
          <w:szCs w:val="24"/>
        </w:rPr>
      </w:pPr>
      <w:r w:rsidRPr="00343E52">
        <w:rPr>
          <w:rFonts w:ascii="Arial" w:hAnsi="Arial" w:cs="Arial"/>
          <w:b/>
          <w:sz w:val="24"/>
          <w:szCs w:val="24"/>
        </w:rPr>
        <w:lastRenderedPageBreak/>
        <w:t>Planning Calendar Sample:</w:t>
      </w:r>
    </w:p>
    <w:p w14:paraId="1593ADAE" w14:textId="6396CC9C" w:rsidR="008444BF" w:rsidRPr="00276A9A" w:rsidRDefault="008444BF" w:rsidP="00717EF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3261"/>
        <w:gridCol w:w="1465"/>
        <w:gridCol w:w="1979"/>
        <w:gridCol w:w="1541"/>
      </w:tblGrid>
      <w:tr w:rsidR="00343E52" w:rsidRPr="00276A9A" w14:paraId="59BC0AA0" w14:textId="687E3E64" w:rsidTr="00343E52">
        <w:tc>
          <w:tcPr>
            <w:tcW w:w="1104" w:type="dxa"/>
          </w:tcPr>
          <w:p w14:paraId="5D7A99FE" w14:textId="77777777" w:rsidR="00343E52" w:rsidRPr="003549E4" w:rsidRDefault="00343E52" w:rsidP="004A4A33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549E4">
              <w:rPr>
                <w:rFonts w:ascii="Arial" w:hAnsi="Arial" w:cs="Arial"/>
                <w:b/>
                <w:sz w:val="24"/>
                <w:szCs w:val="20"/>
              </w:rPr>
              <w:t>Quarter</w:t>
            </w:r>
          </w:p>
        </w:tc>
        <w:tc>
          <w:tcPr>
            <w:tcW w:w="3261" w:type="dxa"/>
          </w:tcPr>
          <w:p w14:paraId="43727E70" w14:textId="77777777" w:rsidR="00343E52" w:rsidRPr="003549E4" w:rsidRDefault="00343E52" w:rsidP="004A4A33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549E4">
              <w:rPr>
                <w:rFonts w:ascii="Arial" w:hAnsi="Arial" w:cs="Arial"/>
                <w:b/>
                <w:sz w:val="24"/>
                <w:szCs w:val="20"/>
              </w:rPr>
              <w:t>Current Grade Documentation</w:t>
            </w:r>
          </w:p>
        </w:tc>
        <w:tc>
          <w:tcPr>
            <w:tcW w:w="1465" w:type="dxa"/>
          </w:tcPr>
          <w:p w14:paraId="126D1920" w14:textId="77777777" w:rsidR="00343E52" w:rsidRPr="003549E4" w:rsidRDefault="00343E52" w:rsidP="004A4A33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979" w:type="dxa"/>
          </w:tcPr>
          <w:p w14:paraId="1A696E60" w14:textId="19955F13" w:rsidR="00343E52" w:rsidRPr="003549E4" w:rsidRDefault="00343E52" w:rsidP="004A4A33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549E4">
              <w:rPr>
                <w:rFonts w:ascii="Arial" w:hAnsi="Arial" w:cs="Arial"/>
                <w:b/>
                <w:sz w:val="24"/>
                <w:szCs w:val="20"/>
              </w:rPr>
              <w:t>Completed By:</w:t>
            </w:r>
          </w:p>
        </w:tc>
        <w:tc>
          <w:tcPr>
            <w:tcW w:w="1541" w:type="dxa"/>
          </w:tcPr>
          <w:p w14:paraId="4E2C66CE" w14:textId="291D3937" w:rsidR="00343E52" w:rsidRPr="003549E4" w:rsidRDefault="00343E52" w:rsidP="004A4A33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3549E4">
              <w:rPr>
                <w:rFonts w:ascii="Arial" w:hAnsi="Arial" w:cs="Arial"/>
                <w:b/>
                <w:sz w:val="24"/>
                <w:szCs w:val="20"/>
              </w:rPr>
              <w:t>Due to ESC</w:t>
            </w:r>
          </w:p>
        </w:tc>
      </w:tr>
      <w:tr w:rsidR="00343E52" w:rsidRPr="00276A9A" w14:paraId="16C46D8F" w14:textId="1870DCEE" w:rsidTr="00343E52">
        <w:tc>
          <w:tcPr>
            <w:tcW w:w="1104" w:type="dxa"/>
          </w:tcPr>
          <w:p w14:paraId="1DF08D58" w14:textId="77777777" w:rsidR="00343E52" w:rsidRPr="003549E4" w:rsidRDefault="00343E52" w:rsidP="00343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306B2E0E" w14:textId="29729DA5" w:rsidR="00343E52" w:rsidRPr="003549E4" w:rsidRDefault="00343E52" w:rsidP="004A4A33">
            <w:pPr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 xml:space="preserve">PFS Individual Student Plan            </w:t>
            </w:r>
          </w:p>
          <w:p w14:paraId="1AD294B2" w14:textId="77777777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Progress Review 1:  6 weeks grades</w:t>
            </w:r>
          </w:p>
        </w:tc>
        <w:tc>
          <w:tcPr>
            <w:tcW w:w="1465" w:type="dxa"/>
          </w:tcPr>
          <w:p w14:paraId="33637B1E" w14:textId="77777777" w:rsidR="00343E52" w:rsidRPr="003549E4" w:rsidRDefault="00343E52" w:rsidP="004A4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B9F40B1" w14:textId="7E699419" w:rsidR="00343E52" w:rsidRPr="003549E4" w:rsidRDefault="00343E52" w:rsidP="004A4A33">
            <w:pPr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October 4</w:t>
            </w:r>
          </w:p>
          <w:p w14:paraId="4781797A" w14:textId="77777777" w:rsidR="00343E52" w:rsidRPr="003549E4" w:rsidRDefault="00343E52" w:rsidP="004A4A33">
            <w:pPr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November 15</w:t>
            </w:r>
          </w:p>
          <w:p w14:paraId="4D1E197B" w14:textId="77777777" w:rsidR="00343E52" w:rsidRPr="003549E4" w:rsidRDefault="00343E52" w:rsidP="004A4A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A7EADE6" w14:textId="77777777" w:rsidR="00343E52" w:rsidRDefault="00343E52" w:rsidP="004A4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18</w:t>
            </w:r>
          </w:p>
          <w:p w14:paraId="3CD8661C" w14:textId="72B4394A" w:rsidR="00343E52" w:rsidRPr="003549E4" w:rsidRDefault="00343E52" w:rsidP="004A4A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22</w:t>
            </w:r>
          </w:p>
        </w:tc>
      </w:tr>
      <w:tr w:rsidR="00343E52" w:rsidRPr="00276A9A" w14:paraId="4264E00A" w14:textId="54D21D3B" w:rsidTr="00343E52">
        <w:trPr>
          <w:trHeight w:val="323"/>
        </w:trPr>
        <w:tc>
          <w:tcPr>
            <w:tcW w:w="1104" w:type="dxa"/>
          </w:tcPr>
          <w:p w14:paraId="08ABD3AE" w14:textId="77777777" w:rsidR="00343E52" w:rsidRPr="003549E4" w:rsidRDefault="00343E52" w:rsidP="00343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42E46DB0" w14:textId="77777777" w:rsidR="00343E52" w:rsidRPr="003549E4" w:rsidRDefault="00343E52" w:rsidP="00132F79">
            <w:pPr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Progress Review 2:  6 weeks grades</w:t>
            </w:r>
          </w:p>
        </w:tc>
        <w:tc>
          <w:tcPr>
            <w:tcW w:w="1465" w:type="dxa"/>
          </w:tcPr>
          <w:p w14:paraId="13652FDA" w14:textId="77777777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050CA9C" w14:textId="0A770771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February 14</w:t>
            </w:r>
          </w:p>
          <w:p w14:paraId="46799C10" w14:textId="77777777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BB85134" w14:textId="1EB3D8B2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21</w:t>
            </w:r>
          </w:p>
        </w:tc>
      </w:tr>
      <w:tr w:rsidR="00343E52" w:rsidRPr="00276A9A" w14:paraId="2E70401D" w14:textId="090FF988" w:rsidTr="00343E52">
        <w:tc>
          <w:tcPr>
            <w:tcW w:w="1104" w:type="dxa"/>
          </w:tcPr>
          <w:p w14:paraId="32F3AB63" w14:textId="77777777" w:rsidR="00343E52" w:rsidRPr="003549E4" w:rsidRDefault="00343E52" w:rsidP="00343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4902C0F1" w14:textId="77777777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Progress Review 3:  6 weeks grades</w:t>
            </w:r>
          </w:p>
        </w:tc>
        <w:tc>
          <w:tcPr>
            <w:tcW w:w="1465" w:type="dxa"/>
          </w:tcPr>
          <w:p w14:paraId="3821C97B" w14:textId="77777777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9B0BE70" w14:textId="2BE981B5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  <w:r w:rsidRPr="003549E4">
              <w:rPr>
                <w:rFonts w:ascii="Arial" w:hAnsi="Arial" w:cs="Arial"/>
                <w:sz w:val="24"/>
                <w:szCs w:val="24"/>
              </w:rPr>
              <w:t>May 1</w:t>
            </w:r>
          </w:p>
          <w:p w14:paraId="5C867CD8" w14:textId="77777777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4E48E61" w14:textId="5E775091" w:rsidR="00343E52" w:rsidRPr="003549E4" w:rsidRDefault="00343E52" w:rsidP="008444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22</w:t>
            </w:r>
          </w:p>
        </w:tc>
      </w:tr>
    </w:tbl>
    <w:p w14:paraId="2358639E" w14:textId="77777777" w:rsidR="008444BF" w:rsidRPr="00276A9A" w:rsidRDefault="008444BF" w:rsidP="004A4A33">
      <w:pPr>
        <w:spacing w:after="0"/>
        <w:rPr>
          <w:rFonts w:ascii="Arial" w:hAnsi="Arial" w:cs="Arial"/>
          <w:sz w:val="24"/>
          <w:szCs w:val="24"/>
        </w:rPr>
      </w:pPr>
    </w:p>
    <w:p w14:paraId="10F25807" w14:textId="77777777" w:rsidR="009A67F6" w:rsidRDefault="009A67F6" w:rsidP="004A4A33">
      <w:pPr>
        <w:spacing w:after="0"/>
        <w:rPr>
          <w:rFonts w:ascii="Arial" w:hAnsi="Arial" w:cs="Arial"/>
          <w:i/>
          <w:sz w:val="24"/>
          <w:szCs w:val="24"/>
        </w:rPr>
      </w:pPr>
      <w:r w:rsidRPr="00343E52">
        <w:rPr>
          <w:rFonts w:ascii="Arial" w:hAnsi="Arial" w:cs="Arial"/>
          <w:b/>
          <w:i/>
          <w:sz w:val="24"/>
          <w:szCs w:val="24"/>
        </w:rPr>
        <w:t>Note:</w:t>
      </w:r>
      <w:r w:rsidRPr="009A67F6">
        <w:rPr>
          <w:rFonts w:ascii="Arial" w:hAnsi="Arial" w:cs="Arial"/>
          <w:i/>
          <w:sz w:val="24"/>
          <w:szCs w:val="24"/>
        </w:rPr>
        <w:t xml:space="preserve">  This is only a sample of what districts may decide to implement.  District considerations may include type of schedule (traditional, block, accelerated block) and grading periods.   </w:t>
      </w:r>
    </w:p>
    <w:p w14:paraId="3C27BDCA" w14:textId="77777777" w:rsidR="002B319B" w:rsidRDefault="002B319B" w:rsidP="004A4A33">
      <w:pPr>
        <w:spacing w:after="0"/>
        <w:rPr>
          <w:rFonts w:ascii="Arial" w:hAnsi="Arial" w:cs="Arial"/>
          <w:i/>
          <w:sz w:val="24"/>
          <w:szCs w:val="24"/>
        </w:rPr>
      </w:pPr>
    </w:p>
    <w:p w14:paraId="045402D8" w14:textId="02234975" w:rsidR="002D0A1D" w:rsidRPr="00343E52" w:rsidRDefault="00343E52" w:rsidP="00343E52">
      <w:pPr>
        <w:spacing w:after="0"/>
        <w:rPr>
          <w:rFonts w:ascii="Arial" w:hAnsi="Arial" w:cs="Arial"/>
          <w:b/>
          <w:sz w:val="24"/>
          <w:szCs w:val="24"/>
        </w:rPr>
      </w:pPr>
      <w:r w:rsidRPr="00343E52">
        <w:rPr>
          <w:rFonts w:ascii="Arial" w:hAnsi="Arial" w:cs="Arial"/>
          <w:b/>
          <w:sz w:val="24"/>
          <w:szCs w:val="24"/>
        </w:rPr>
        <w:t>ESC District Assignments</w:t>
      </w:r>
    </w:p>
    <w:p w14:paraId="25FDD7DC" w14:textId="77777777" w:rsidR="006A1C2A" w:rsidRDefault="006A1C2A" w:rsidP="00601B78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164EE007" w14:textId="6BED0174" w:rsidR="006A1C2A" w:rsidRDefault="002D0A1D" w:rsidP="006A1C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assistance, contact your assigned ESC MEP Specialist.</w:t>
      </w:r>
    </w:p>
    <w:p w14:paraId="1519DF5B" w14:textId="77777777" w:rsidR="00343E52" w:rsidRPr="0015254C" w:rsidRDefault="00343E52" w:rsidP="006A1C2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5254C" w:rsidRPr="0015254C" w14:paraId="06BBF104" w14:textId="77777777" w:rsidTr="003D6993">
        <w:tc>
          <w:tcPr>
            <w:tcW w:w="3595" w:type="dxa"/>
          </w:tcPr>
          <w:p w14:paraId="6AF51C7F" w14:textId="77777777" w:rsidR="0015254C" w:rsidRPr="0015254C" w:rsidRDefault="0015254C" w:rsidP="002D0A1D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54C">
              <w:rPr>
                <w:rFonts w:ascii="Arial" w:hAnsi="Arial" w:cs="Arial"/>
                <w:b/>
                <w:sz w:val="24"/>
                <w:szCs w:val="24"/>
              </w:rPr>
              <w:t>ESC MEP Specialist</w:t>
            </w:r>
          </w:p>
        </w:tc>
        <w:tc>
          <w:tcPr>
            <w:tcW w:w="5755" w:type="dxa"/>
          </w:tcPr>
          <w:p w14:paraId="58531791" w14:textId="77777777" w:rsidR="0015254C" w:rsidRPr="0015254C" w:rsidRDefault="0015254C" w:rsidP="002D0A1D">
            <w:pPr>
              <w:spacing w:after="160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254C">
              <w:rPr>
                <w:rFonts w:ascii="Arial" w:hAnsi="Arial" w:cs="Arial"/>
                <w:b/>
                <w:sz w:val="24"/>
                <w:szCs w:val="24"/>
              </w:rPr>
              <w:t>Districts</w:t>
            </w:r>
          </w:p>
        </w:tc>
      </w:tr>
      <w:tr w:rsidR="0015254C" w:rsidRPr="00361795" w14:paraId="26BA4D4F" w14:textId="77777777" w:rsidTr="00276A9A">
        <w:trPr>
          <w:trHeight w:val="854"/>
        </w:trPr>
        <w:tc>
          <w:tcPr>
            <w:tcW w:w="3595" w:type="dxa"/>
          </w:tcPr>
          <w:p w14:paraId="7319EA09" w14:textId="77777777" w:rsidR="0015254C" w:rsidRPr="006A1C2A" w:rsidRDefault="0015254C" w:rsidP="002D0A1D">
            <w:pPr>
              <w:spacing w:after="160" w:line="240" w:lineRule="exact"/>
              <w:rPr>
                <w:rFonts w:ascii="Arial" w:hAnsi="Arial" w:cs="Arial"/>
              </w:rPr>
            </w:pPr>
            <w:r w:rsidRPr="0015254C">
              <w:rPr>
                <w:rFonts w:ascii="Arial" w:hAnsi="Arial" w:cs="Arial"/>
              </w:rPr>
              <w:t xml:space="preserve">Tana Armitage, 956-984-6248 </w:t>
            </w:r>
            <w:hyperlink r:id="rId10" w:history="1">
              <w:r w:rsidRPr="0015254C">
                <w:rPr>
                  <w:rFonts w:ascii="Arial" w:hAnsi="Arial" w:cs="Arial"/>
                  <w:color w:val="0000FF"/>
                  <w:u w:val="single"/>
                </w:rPr>
                <w:t>tarmitage@esc1.net</w:t>
              </w:r>
            </w:hyperlink>
            <w:r w:rsidRPr="001525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55" w:type="dxa"/>
          </w:tcPr>
          <w:p w14:paraId="44345554" w14:textId="77777777" w:rsidR="0015254C" w:rsidRPr="006A1C2A" w:rsidRDefault="0015254C" w:rsidP="002D0A1D">
            <w:pPr>
              <w:spacing w:after="160" w:line="240" w:lineRule="exact"/>
              <w:rPr>
                <w:rFonts w:ascii="Arial" w:hAnsi="Arial" w:cs="Arial"/>
                <w:lang w:val="es-MX"/>
              </w:rPr>
            </w:pPr>
            <w:r w:rsidRPr="006A1C2A">
              <w:rPr>
                <w:rFonts w:ascii="Arial" w:hAnsi="Arial" w:cs="Arial"/>
                <w:lang w:val="es-MX"/>
              </w:rPr>
              <w:t>Mercedes, Monte Alto, Rio Grande City, Rio Hondo, San Benito, San Perlita</w:t>
            </w:r>
          </w:p>
        </w:tc>
      </w:tr>
      <w:tr w:rsidR="0015254C" w:rsidRPr="00361795" w14:paraId="2CE0144F" w14:textId="77777777" w:rsidTr="003D6993">
        <w:tc>
          <w:tcPr>
            <w:tcW w:w="3595" w:type="dxa"/>
          </w:tcPr>
          <w:p w14:paraId="5434A8B7" w14:textId="77777777" w:rsidR="0015254C" w:rsidRPr="0015254C" w:rsidRDefault="0015254C" w:rsidP="006A1C2A">
            <w:pPr>
              <w:rPr>
                <w:rFonts w:ascii="Arial" w:hAnsi="Arial" w:cs="Arial"/>
              </w:rPr>
            </w:pPr>
            <w:r w:rsidRPr="0015254C">
              <w:rPr>
                <w:rFonts w:ascii="Arial" w:hAnsi="Arial" w:cs="Arial"/>
              </w:rPr>
              <w:t>Diana Moros, 956-984-6186</w:t>
            </w:r>
          </w:p>
          <w:p w14:paraId="0339463B" w14:textId="77777777" w:rsidR="0015254C" w:rsidRDefault="00597B89" w:rsidP="006A1C2A">
            <w:pPr>
              <w:rPr>
                <w:rFonts w:ascii="Arial" w:hAnsi="Arial" w:cs="Arial"/>
              </w:rPr>
            </w:pPr>
            <w:hyperlink r:id="rId11" w:history="1">
              <w:r w:rsidR="0015254C" w:rsidRPr="0015254C">
                <w:rPr>
                  <w:rFonts w:ascii="Arial" w:hAnsi="Arial" w:cs="Arial"/>
                  <w:color w:val="0000FF"/>
                  <w:u w:val="single"/>
                </w:rPr>
                <w:t>dmmoros@esc1.net</w:t>
              </w:r>
            </w:hyperlink>
            <w:r w:rsidR="0015254C" w:rsidRPr="0015254C">
              <w:rPr>
                <w:rFonts w:ascii="Arial" w:hAnsi="Arial" w:cs="Arial"/>
              </w:rPr>
              <w:t xml:space="preserve"> </w:t>
            </w:r>
          </w:p>
          <w:p w14:paraId="4747FF6E" w14:textId="77777777" w:rsidR="006A1C2A" w:rsidRPr="006A1C2A" w:rsidRDefault="006A1C2A" w:rsidP="006A1C2A">
            <w:pPr>
              <w:rPr>
                <w:rFonts w:ascii="Arial" w:hAnsi="Arial" w:cs="Arial"/>
              </w:rPr>
            </w:pPr>
          </w:p>
        </w:tc>
        <w:tc>
          <w:tcPr>
            <w:tcW w:w="5755" w:type="dxa"/>
          </w:tcPr>
          <w:p w14:paraId="301EE912" w14:textId="77777777" w:rsidR="0015254C" w:rsidRPr="006A1C2A" w:rsidRDefault="0015254C" w:rsidP="002D0A1D">
            <w:pPr>
              <w:spacing w:after="160" w:line="240" w:lineRule="exact"/>
              <w:rPr>
                <w:rFonts w:ascii="Arial" w:hAnsi="Arial" w:cs="Arial"/>
                <w:lang w:val="es-MX"/>
              </w:rPr>
            </w:pPr>
            <w:proofErr w:type="spellStart"/>
            <w:r w:rsidRPr="006A1C2A">
              <w:rPr>
                <w:rFonts w:ascii="Arial" w:hAnsi="Arial" w:cs="Arial"/>
                <w:lang w:val="es-MX"/>
              </w:rPr>
              <w:t>Edinburg</w:t>
            </w:r>
            <w:proofErr w:type="spellEnd"/>
            <w:r w:rsidRPr="006A1C2A">
              <w:rPr>
                <w:rFonts w:ascii="Arial" w:hAnsi="Arial" w:cs="Arial"/>
                <w:lang w:val="es-MX"/>
              </w:rPr>
              <w:t xml:space="preserve">, </w:t>
            </w:r>
            <w:proofErr w:type="spellStart"/>
            <w:r w:rsidRPr="006A1C2A">
              <w:rPr>
                <w:rFonts w:ascii="Arial" w:hAnsi="Arial" w:cs="Arial"/>
                <w:lang w:val="es-MX"/>
              </w:rPr>
              <w:t>Harlingen</w:t>
            </w:r>
            <w:proofErr w:type="spellEnd"/>
            <w:r w:rsidRPr="006A1C2A">
              <w:rPr>
                <w:rFonts w:ascii="Arial" w:hAnsi="Arial" w:cs="Arial"/>
                <w:lang w:val="es-MX"/>
              </w:rPr>
              <w:t xml:space="preserve">, La Villa, Santa Maria, Valley View, </w:t>
            </w:r>
            <w:proofErr w:type="spellStart"/>
            <w:r w:rsidRPr="006A1C2A">
              <w:rPr>
                <w:rFonts w:ascii="Arial" w:hAnsi="Arial" w:cs="Arial"/>
                <w:lang w:val="es-MX"/>
              </w:rPr>
              <w:t>Webb</w:t>
            </w:r>
            <w:proofErr w:type="spellEnd"/>
          </w:p>
        </w:tc>
      </w:tr>
      <w:tr w:rsidR="0015254C" w:rsidRPr="0015254C" w14:paraId="031D801C" w14:textId="77777777" w:rsidTr="003D6993">
        <w:tc>
          <w:tcPr>
            <w:tcW w:w="3595" w:type="dxa"/>
          </w:tcPr>
          <w:p w14:paraId="2B77DA17" w14:textId="77777777" w:rsidR="0015254C" w:rsidRPr="006A1C2A" w:rsidRDefault="0015254C" w:rsidP="006A1C2A">
            <w:pPr>
              <w:rPr>
                <w:rFonts w:ascii="Arial" w:hAnsi="Arial" w:cs="Arial"/>
                <w:lang w:val="es-MX"/>
              </w:rPr>
            </w:pPr>
            <w:r w:rsidRPr="006A1C2A">
              <w:rPr>
                <w:rFonts w:ascii="Arial" w:hAnsi="Arial" w:cs="Arial"/>
                <w:lang w:val="es-MX"/>
              </w:rPr>
              <w:t>Manuel P. Salinas, 956-984-6251</w:t>
            </w:r>
          </w:p>
          <w:p w14:paraId="2FF67175" w14:textId="77777777" w:rsidR="0015254C" w:rsidRDefault="00597B89" w:rsidP="006A1C2A">
            <w:pPr>
              <w:rPr>
                <w:rFonts w:ascii="Arial" w:hAnsi="Arial" w:cs="Arial"/>
                <w:lang w:val="es-MX"/>
              </w:rPr>
            </w:pPr>
            <w:hyperlink r:id="rId12" w:history="1">
              <w:r w:rsidR="0015254C" w:rsidRPr="006A1C2A">
                <w:rPr>
                  <w:rFonts w:ascii="Arial" w:hAnsi="Arial" w:cs="Arial"/>
                  <w:color w:val="0000FF"/>
                  <w:u w:val="single"/>
                  <w:lang w:val="es-MX"/>
                </w:rPr>
                <w:t>mansalinas@esc1.net</w:t>
              </w:r>
            </w:hyperlink>
            <w:r w:rsidR="0015254C" w:rsidRPr="006A1C2A">
              <w:rPr>
                <w:rFonts w:ascii="Arial" w:hAnsi="Arial" w:cs="Arial"/>
                <w:lang w:val="es-MX"/>
              </w:rPr>
              <w:t xml:space="preserve"> </w:t>
            </w:r>
          </w:p>
          <w:p w14:paraId="1C6B6BD3" w14:textId="77777777" w:rsidR="006A1C2A" w:rsidRPr="006A1C2A" w:rsidRDefault="006A1C2A" w:rsidP="006A1C2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755" w:type="dxa"/>
          </w:tcPr>
          <w:p w14:paraId="60143AB8" w14:textId="77777777" w:rsidR="0015254C" w:rsidRPr="0015254C" w:rsidRDefault="0015254C" w:rsidP="002D0A1D">
            <w:pPr>
              <w:spacing w:after="1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Donna, Laredo, </w:t>
            </w:r>
            <w:proofErr w:type="spellStart"/>
            <w:r>
              <w:rPr>
                <w:rFonts w:ascii="Arial" w:hAnsi="Arial" w:cs="Arial"/>
              </w:rPr>
              <w:t>Lasara</w:t>
            </w:r>
            <w:proofErr w:type="spellEnd"/>
            <w:r>
              <w:rPr>
                <w:rFonts w:ascii="Arial" w:hAnsi="Arial" w:cs="Arial"/>
              </w:rPr>
              <w:t>, McAllen, Mission, Raymondville, Point Isabel</w:t>
            </w:r>
          </w:p>
        </w:tc>
      </w:tr>
      <w:tr w:rsidR="0015254C" w:rsidRPr="0015254C" w14:paraId="10ACB4AD" w14:textId="77777777" w:rsidTr="003D6993">
        <w:tc>
          <w:tcPr>
            <w:tcW w:w="3595" w:type="dxa"/>
          </w:tcPr>
          <w:p w14:paraId="1DC86ECB" w14:textId="77777777" w:rsidR="0015254C" w:rsidRPr="0015254C" w:rsidRDefault="0015254C" w:rsidP="006A1C2A">
            <w:pPr>
              <w:rPr>
                <w:rFonts w:ascii="Arial" w:hAnsi="Arial" w:cs="Arial"/>
              </w:rPr>
            </w:pPr>
            <w:r w:rsidRPr="0015254C">
              <w:rPr>
                <w:rFonts w:ascii="Arial" w:hAnsi="Arial" w:cs="Arial"/>
              </w:rPr>
              <w:t>Julissa Sandoval, 956-984-6255</w:t>
            </w:r>
          </w:p>
          <w:p w14:paraId="2D4F1334" w14:textId="77777777" w:rsidR="0015254C" w:rsidRDefault="00597B89" w:rsidP="006A1C2A">
            <w:pPr>
              <w:rPr>
                <w:rFonts w:ascii="Arial" w:hAnsi="Arial" w:cs="Arial"/>
              </w:rPr>
            </w:pPr>
            <w:hyperlink r:id="rId13" w:history="1">
              <w:r w:rsidR="0015254C" w:rsidRPr="0015254C">
                <w:rPr>
                  <w:rFonts w:ascii="Arial" w:hAnsi="Arial" w:cs="Arial"/>
                  <w:color w:val="0000FF"/>
                  <w:u w:val="single"/>
                </w:rPr>
                <w:t>jsandoval@esc1.net</w:t>
              </w:r>
            </w:hyperlink>
            <w:r w:rsidR="0015254C" w:rsidRPr="0015254C">
              <w:rPr>
                <w:rFonts w:ascii="Arial" w:hAnsi="Arial" w:cs="Arial"/>
              </w:rPr>
              <w:t xml:space="preserve"> </w:t>
            </w:r>
          </w:p>
          <w:p w14:paraId="4DA077E0" w14:textId="77777777" w:rsidR="006A1C2A" w:rsidRPr="006A1C2A" w:rsidRDefault="006A1C2A" w:rsidP="006A1C2A">
            <w:pPr>
              <w:rPr>
                <w:rFonts w:ascii="Arial" w:hAnsi="Arial" w:cs="Arial"/>
              </w:rPr>
            </w:pPr>
          </w:p>
        </w:tc>
        <w:tc>
          <w:tcPr>
            <w:tcW w:w="5755" w:type="dxa"/>
          </w:tcPr>
          <w:p w14:paraId="202398E1" w14:textId="77777777" w:rsidR="0015254C" w:rsidRPr="0015254C" w:rsidRDefault="0015254C" w:rsidP="002D0A1D">
            <w:pPr>
              <w:spacing w:after="1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Hidalgo, La Joya, Progresso, South Texas, Weslaco, Zapata</w:t>
            </w:r>
          </w:p>
        </w:tc>
      </w:tr>
      <w:tr w:rsidR="0015254C" w:rsidRPr="0015254C" w14:paraId="65B4B493" w14:textId="77777777" w:rsidTr="0015254C">
        <w:trPr>
          <w:trHeight w:val="845"/>
        </w:trPr>
        <w:tc>
          <w:tcPr>
            <w:tcW w:w="3595" w:type="dxa"/>
          </w:tcPr>
          <w:p w14:paraId="4C9C0885" w14:textId="77777777" w:rsidR="0015254C" w:rsidRPr="006A1C2A" w:rsidRDefault="0015254C" w:rsidP="006A1C2A">
            <w:pPr>
              <w:rPr>
                <w:rFonts w:ascii="Arial" w:hAnsi="Arial" w:cs="Arial"/>
                <w:lang w:val="es-MX"/>
              </w:rPr>
            </w:pPr>
            <w:r w:rsidRPr="006A1C2A">
              <w:rPr>
                <w:rFonts w:ascii="Arial" w:hAnsi="Arial" w:cs="Arial"/>
                <w:lang w:val="es-MX"/>
              </w:rPr>
              <w:t>Maria Elena Cortez, 956-984-6252</w:t>
            </w:r>
          </w:p>
          <w:p w14:paraId="18FFAE96" w14:textId="77777777" w:rsidR="0015254C" w:rsidRPr="006A1C2A" w:rsidRDefault="00597B89" w:rsidP="006A1C2A">
            <w:pPr>
              <w:rPr>
                <w:rFonts w:ascii="Arial" w:hAnsi="Arial" w:cs="Arial"/>
                <w:lang w:val="es-MX"/>
              </w:rPr>
            </w:pPr>
            <w:hyperlink r:id="rId14" w:history="1">
              <w:r w:rsidR="0015254C" w:rsidRPr="006A1C2A">
                <w:rPr>
                  <w:rFonts w:ascii="Arial" w:hAnsi="Arial" w:cs="Arial"/>
                  <w:color w:val="0000FF"/>
                  <w:u w:val="single"/>
                  <w:lang w:val="es-MX"/>
                </w:rPr>
                <w:t>mecortez@esc1.net</w:t>
              </w:r>
            </w:hyperlink>
            <w:r w:rsidR="0015254C" w:rsidRPr="006A1C2A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5755" w:type="dxa"/>
          </w:tcPr>
          <w:p w14:paraId="23D962EC" w14:textId="77777777" w:rsidR="0015254C" w:rsidRPr="0015254C" w:rsidRDefault="0015254C" w:rsidP="002D0A1D">
            <w:pPr>
              <w:spacing w:after="1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Brownsville, Lyford, PSJA, Sharyland, United, Jim Hogg</w:t>
            </w:r>
          </w:p>
        </w:tc>
      </w:tr>
      <w:tr w:rsidR="0015254C" w:rsidRPr="00361795" w14:paraId="21FCC94E" w14:textId="77777777" w:rsidTr="003D6993">
        <w:tc>
          <w:tcPr>
            <w:tcW w:w="3595" w:type="dxa"/>
          </w:tcPr>
          <w:p w14:paraId="6080581F" w14:textId="77777777" w:rsidR="0015254C" w:rsidRDefault="0015254C" w:rsidP="002D0A1D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Anaya, 956-984-6187</w:t>
            </w:r>
          </w:p>
          <w:p w14:paraId="36C18C9B" w14:textId="77777777" w:rsidR="0015254C" w:rsidRDefault="00597B89" w:rsidP="002D0A1D">
            <w:pPr>
              <w:spacing w:line="240" w:lineRule="exact"/>
              <w:rPr>
                <w:rFonts w:ascii="Arial" w:hAnsi="Arial" w:cs="Arial"/>
              </w:rPr>
            </w:pPr>
            <w:hyperlink r:id="rId15" w:history="1">
              <w:r w:rsidR="0015254C" w:rsidRPr="00676E97">
                <w:rPr>
                  <w:rStyle w:val="Hyperlink"/>
                  <w:rFonts w:ascii="Arial" w:hAnsi="Arial" w:cs="Arial"/>
                </w:rPr>
                <w:t>danaya@esc1.net</w:t>
              </w:r>
            </w:hyperlink>
          </w:p>
          <w:p w14:paraId="3A3BED00" w14:textId="77777777" w:rsidR="0015254C" w:rsidRPr="0015254C" w:rsidRDefault="0015254C" w:rsidP="002D0A1D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5755" w:type="dxa"/>
          </w:tcPr>
          <w:p w14:paraId="27FFF8E9" w14:textId="77777777" w:rsidR="0015254C" w:rsidRPr="006A1C2A" w:rsidRDefault="0015254C" w:rsidP="002D0A1D">
            <w:pPr>
              <w:spacing w:line="240" w:lineRule="exact"/>
              <w:rPr>
                <w:rFonts w:ascii="Arial" w:hAnsi="Arial" w:cs="Arial"/>
                <w:lang w:val="es-MX"/>
              </w:rPr>
            </w:pPr>
            <w:proofErr w:type="spellStart"/>
            <w:r w:rsidRPr="006A1C2A">
              <w:rPr>
                <w:rFonts w:ascii="Arial" w:hAnsi="Arial" w:cs="Arial"/>
                <w:lang w:val="es-MX"/>
              </w:rPr>
              <w:t>Edcouch</w:t>
            </w:r>
            <w:proofErr w:type="spellEnd"/>
            <w:r w:rsidRPr="006A1C2A">
              <w:rPr>
                <w:rFonts w:ascii="Arial" w:hAnsi="Arial" w:cs="Arial"/>
                <w:lang w:val="es-MX"/>
              </w:rPr>
              <w:t xml:space="preserve">-Elsa, </w:t>
            </w:r>
            <w:proofErr w:type="spellStart"/>
            <w:r w:rsidRPr="006A1C2A">
              <w:rPr>
                <w:rFonts w:ascii="Arial" w:hAnsi="Arial" w:cs="Arial"/>
                <w:lang w:val="es-MX"/>
              </w:rPr>
              <w:t>Edinburg</w:t>
            </w:r>
            <w:proofErr w:type="spellEnd"/>
            <w:r w:rsidRPr="006A1C2A">
              <w:rPr>
                <w:rFonts w:ascii="Arial" w:hAnsi="Arial" w:cs="Arial"/>
                <w:lang w:val="es-MX"/>
              </w:rPr>
              <w:t>, La Feria, Roma, Santa Rosa, San Isidro</w:t>
            </w:r>
          </w:p>
        </w:tc>
      </w:tr>
    </w:tbl>
    <w:p w14:paraId="79C373D3" w14:textId="77777777" w:rsidR="004A4A33" w:rsidRPr="006A1C2A" w:rsidRDefault="004A4A33" w:rsidP="004A4A33">
      <w:pPr>
        <w:spacing w:after="0"/>
        <w:rPr>
          <w:rFonts w:ascii="Arial" w:hAnsi="Arial" w:cs="Arial"/>
          <w:sz w:val="28"/>
          <w:szCs w:val="28"/>
          <w:lang w:val="es-MX"/>
        </w:rPr>
      </w:pPr>
    </w:p>
    <w:sectPr w:rsidR="004A4A33" w:rsidRPr="006A1C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EC06" w14:textId="77777777" w:rsidR="00CD43FB" w:rsidRDefault="00CD43FB" w:rsidP="009232D4">
      <w:pPr>
        <w:spacing w:after="0" w:line="240" w:lineRule="auto"/>
      </w:pPr>
      <w:r>
        <w:separator/>
      </w:r>
    </w:p>
  </w:endnote>
  <w:endnote w:type="continuationSeparator" w:id="0">
    <w:p w14:paraId="7C828FFA" w14:textId="77777777" w:rsidR="00CD43FB" w:rsidRDefault="00CD43FB" w:rsidP="0092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340E" w14:textId="77777777" w:rsidR="00CD3D72" w:rsidRDefault="00CD3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160D" w14:textId="77777777" w:rsidR="009232D4" w:rsidRDefault="009232D4" w:rsidP="009232D4">
    <w:pPr>
      <w:pStyle w:val="Footer"/>
      <w:jc w:val="center"/>
    </w:pPr>
    <w:r>
      <w:rPr>
        <w:noProof/>
      </w:rPr>
      <w:drawing>
        <wp:inline distT="0" distB="0" distL="0" distR="0" wp14:anchorId="05325720" wp14:editId="77452A95">
          <wp:extent cx="571500" cy="564116"/>
          <wp:effectExtent l="0" t="0" r="0" b="7620"/>
          <wp:docPr id="12" name="Picture 2" descr="http://www.esc1.net/cms/lib/TX21000366/Centricity/Domain/127/Region%20One%20ESC%2050th%20Anniversary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http://www.esc1.net/cms/lib/TX21000366/Centricity/Domain/127/Region%20One%20ESC%2050th%20Anniversary%2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39" cy="5764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1900 W. Schunior, Edinburg, TX 78541  </w:t>
    </w:r>
    <w:r>
      <w:sym w:font="Webdings" w:char="F07C"/>
    </w:r>
    <w:r>
      <w:t xml:space="preserve">  (956) 984-6000  </w:t>
    </w:r>
    <w:r>
      <w:sym w:font="Webdings" w:char="F07C"/>
    </w:r>
    <w:r>
      <w:t xml:space="preserve">   </w:t>
    </w:r>
    <w:hyperlink r:id="rId2" w:history="1">
      <w:r w:rsidRPr="00C23E03">
        <w:rPr>
          <w:rStyle w:val="Hyperlink"/>
        </w:rPr>
        <w:t>www.esc1.net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AE865" w14:textId="77777777" w:rsidR="00CD3D72" w:rsidRDefault="00CD3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84AA" w14:textId="77777777" w:rsidR="00CD43FB" w:rsidRDefault="00CD43FB" w:rsidP="009232D4">
      <w:pPr>
        <w:spacing w:after="0" w:line="240" w:lineRule="auto"/>
      </w:pPr>
      <w:r>
        <w:separator/>
      </w:r>
    </w:p>
  </w:footnote>
  <w:footnote w:type="continuationSeparator" w:id="0">
    <w:p w14:paraId="76E8B191" w14:textId="77777777" w:rsidR="00CD43FB" w:rsidRDefault="00CD43FB" w:rsidP="0092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0467" w14:textId="77777777" w:rsidR="00CD3D72" w:rsidRDefault="00CD3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59AA" w14:textId="34B3186F" w:rsidR="00CD3D72" w:rsidRDefault="00CD3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A13" w14:textId="77777777" w:rsidR="00CD3D72" w:rsidRDefault="00CD3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954"/>
    <w:multiLevelType w:val="hybridMultilevel"/>
    <w:tmpl w:val="F2C8A5A8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2DFD"/>
    <w:multiLevelType w:val="hybridMultilevel"/>
    <w:tmpl w:val="03EA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40E4"/>
    <w:multiLevelType w:val="hybridMultilevel"/>
    <w:tmpl w:val="5D1EAB06"/>
    <w:lvl w:ilvl="0" w:tplc="CD6E9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15C9"/>
    <w:multiLevelType w:val="hybridMultilevel"/>
    <w:tmpl w:val="ED9615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D9092E"/>
    <w:multiLevelType w:val="hybridMultilevel"/>
    <w:tmpl w:val="D8A0F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5481"/>
    <w:multiLevelType w:val="hybridMultilevel"/>
    <w:tmpl w:val="AB50CD4C"/>
    <w:lvl w:ilvl="0" w:tplc="9434149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33"/>
    <w:rsid w:val="000537F0"/>
    <w:rsid w:val="000C7794"/>
    <w:rsid w:val="00132F79"/>
    <w:rsid w:val="0015254C"/>
    <w:rsid w:val="00276A9A"/>
    <w:rsid w:val="002947E3"/>
    <w:rsid w:val="002B319B"/>
    <w:rsid w:val="002D0A1D"/>
    <w:rsid w:val="002E1806"/>
    <w:rsid w:val="00343E52"/>
    <w:rsid w:val="003549E4"/>
    <w:rsid w:val="00361795"/>
    <w:rsid w:val="00366E3D"/>
    <w:rsid w:val="003C51D3"/>
    <w:rsid w:val="004525C8"/>
    <w:rsid w:val="0049432E"/>
    <w:rsid w:val="004A4A33"/>
    <w:rsid w:val="004B0475"/>
    <w:rsid w:val="004F3817"/>
    <w:rsid w:val="00532AC9"/>
    <w:rsid w:val="00597B89"/>
    <w:rsid w:val="005F1700"/>
    <w:rsid w:val="00601B78"/>
    <w:rsid w:val="00607484"/>
    <w:rsid w:val="006A16CC"/>
    <w:rsid w:val="006A1C2A"/>
    <w:rsid w:val="006B5BA3"/>
    <w:rsid w:val="00717EFF"/>
    <w:rsid w:val="0078538A"/>
    <w:rsid w:val="00831B40"/>
    <w:rsid w:val="008444BF"/>
    <w:rsid w:val="00894A60"/>
    <w:rsid w:val="00895F32"/>
    <w:rsid w:val="009232D4"/>
    <w:rsid w:val="00962CD8"/>
    <w:rsid w:val="009A67F6"/>
    <w:rsid w:val="00A5604A"/>
    <w:rsid w:val="00A74DD9"/>
    <w:rsid w:val="00AE1F12"/>
    <w:rsid w:val="00B00307"/>
    <w:rsid w:val="00B6474F"/>
    <w:rsid w:val="00B66EB2"/>
    <w:rsid w:val="00B9587E"/>
    <w:rsid w:val="00CA71BF"/>
    <w:rsid w:val="00CD3D72"/>
    <w:rsid w:val="00CD43FB"/>
    <w:rsid w:val="00D1450A"/>
    <w:rsid w:val="00D14847"/>
    <w:rsid w:val="00DE44EE"/>
    <w:rsid w:val="00E176F4"/>
    <w:rsid w:val="00E21094"/>
    <w:rsid w:val="00F46A52"/>
    <w:rsid w:val="00F52E60"/>
    <w:rsid w:val="00F67B75"/>
    <w:rsid w:val="00F84D36"/>
    <w:rsid w:val="00FA2B1F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43D62"/>
  <w15:chartTrackingRefBased/>
  <w15:docId w15:val="{90349685-7122-4F7E-94E9-FE1565B6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0A"/>
    <w:pPr>
      <w:ind w:left="720"/>
      <w:contextualSpacing/>
    </w:pPr>
  </w:style>
  <w:style w:type="table" w:styleId="TableGrid">
    <w:name w:val="Table Grid"/>
    <w:basedOn w:val="TableNormal"/>
    <w:uiPriority w:val="39"/>
    <w:rsid w:val="00F4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2D4"/>
  </w:style>
  <w:style w:type="paragraph" w:styleId="Footer">
    <w:name w:val="footer"/>
    <w:basedOn w:val="Normal"/>
    <w:link w:val="FooterChar"/>
    <w:uiPriority w:val="99"/>
    <w:unhideWhenUsed/>
    <w:rsid w:val="0092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2D4"/>
  </w:style>
  <w:style w:type="character" w:styleId="Hyperlink">
    <w:name w:val="Hyperlink"/>
    <w:uiPriority w:val="99"/>
    <w:unhideWhenUsed/>
    <w:rsid w:val="009232D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F6D1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7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5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2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sandoval@esc1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mansalinas@esc1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moros@esc1.net" TargetMode="External"/><Relationship Id="rId5" Type="http://schemas.openxmlformats.org/officeDocument/2006/relationships/styles" Target="styles.xml"/><Relationship Id="rId15" Type="http://schemas.openxmlformats.org/officeDocument/2006/relationships/hyperlink" Target="mailto:danaya@esc1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rmitage@esc1.net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cortez@esc1.ne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1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26A0F432E146953E2117AE626C6D" ma:contentTypeVersion="13" ma:contentTypeDescription="Create a new document." ma:contentTypeScope="" ma:versionID="76976c686810fe5cf3872429e1b8934d">
  <xsd:schema xmlns:xsd="http://www.w3.org/2001/XMLSchema" xmlns:xs="http://www.w3.org/2001/XMLSchema" xmlns:p="http://schemas.microsoft.com/office/2006/metadata/properties" xmlns:ns3="3d7dc8a5-eb6a-45d1-9414-439381e75b9c" xmlns:ns4="563e9fdb-d300-478d-ac28-1f3e59dd5fb3" targetNamespace="http://schemas.microsoft.com/office/2006/metadata/properties" ma:root="true" ma:fieldsID="472e6e2dbe0f3d9ce352d9016ee1777b" ns3:_="" ns4:_="">
    <xsd:import namespace="3d7dc8a5-eb6a-45d1-9414-439381e75b9c"/>
    <xsd:import namespace="563e9fdb-d300-478d-ac28-1f3e59dd5f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c8a5-eb6a-45d1-9414-439381e7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9fdb-d300-478d-ac28-1f3e59dd5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155DF-FA78-4539-8358-413872E00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46986-B243-49B4-84AF-B036B5235B43}">
  <ds:schemaRefs>
    <ds:schemaRef ds:uri="http://purl.org/dc/elements/1.1/"/>
    <ds:schemaRef ds:uri="3d7dc8a5-eb6a-45d1-9414-439381e75b9c"/>
    <ds:schemaRef ds:uri="563e9fdb-d300-478d-ac28-1f3e59dd5fb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BEBF8F-1DED-4B3B-BEF7-A070F4AD2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dc8a5-eb6a-45d1-9414-439381e75b9c"/>
    <ds:schemaRef ds:uri="563e9fdb-d300-478d-ac28-1f3e59dd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Cortez</dc:creator>
  <cp:keywords/>
  <dc:description/>
  <cp:lastModifiedBy>Denise Anaya</cp:lastModifiedBy>
  <cp:revision>2</cp:revision>
  <cp:lastPrinted>2019-08-09T21:57:00Z</cp:lastPrinted>
  <dcterms:created xsi:type="dcterms:W3CDTF">2019-08-12T16:24:00Z</dcterms:created>
  <dcterms:modified xsi:type="dcterms:W3CDTF">2019-08-12T16:24:00Z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SetBy">
    <vt:lpwstr>tarmitage@esc1.net</vt:lpwstr>
  </property>
  <property fmtid="{D5CDD505-2E9C-101B-9397-08002B2CF9AE}" pid="6" name="MSIP_Label_90f32706-fe86-4b62-af2d-6e74b45d5d5a_SetDate">
    <vt:lpwstr>2018-05-21T13:36:40.3697255-05:00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0x010100C72C26A0F432E146953E2117AE626C6D</vt:lpwstr>
  </property>
</Properties>
</file>